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CellSpacing w:w="0" w:type="dxa"/>
        <w:tblInd w:w="0" w:type="dxa"/>
        <w:tblLayout w:type="autofit"/>
        <w:tblCellMar>
          <w:top w:w="0" w:type="dxa"/>
          <w:left w:w="0" w:type="dxa"/>
          <w:bottom w:w="0" w:type="dxa"/>
          <w:right w:w="0" w:type="dxa"/>
        </w:tblCellMar>
      </w:tblPr>
      <w:tblGrid>
        <w:gridCol w:w="8306"/>
      </w:tblGrid>
      <w:tr w14:paraId="381C7B73">
        <w:tblPrEx>
          <w:tblCellMar>
            <w:top w:w="0" w:type="dxa"/>
            <w:left w:w="0" w:type="dxa"/>
            <w:bottom w:w="0" w:type="dxa"/>
            <w:right w:w="0" w:type="dxa"/>
          </w:tblCellMar>
        </w:tblPrEx>
        <w:trPr>
          <w:trHeight w:val="7500" w:hRule="atLeast"/>
          <w:tblCellSpacing w:w="0" w:type="dxa"/>
        </w:trPr>
        <w:tc>
          <w:tcPr>
            <w:tcW w:w="0" w:type="auto"/>
            <w:tcBorders>
              <w:top w:val="nil"/>
              <w:left w:val="nil"/>
              <w:bottom w:val="nil"/>
              <w:right w:val="nil"/>
            </w:tcBorders>
          </w:tcPr>
          <w:p w14:paraId="7D32E16A">
            <w:pPr>
              <w:widowControl/>
              <w:spacing w:line="600" w:lineRule="atLeast"/>
              <w:jc w:val="center"/>
              <w:rPr>
                <w:rFonts w:hint="eastAsia" w:ascii="宋体" w:hAnsi="宋体" w:eastAsia="宋体" w:cs="宋体"/>
                <w:color w:val="222222"/>
                <w:kern w:val="0"/>
                <w:sz w:val="27"/>
                <w:szCs w:val="27"/>
              </w:rPr>
            </w:pPr>
            <w:r>
              <w:rPr>
                <w:rFonts w:hint="eastAsia" w:ascii="方正小标宋简体" w:hAnsi="宋体" w:eastAsia="方正小标宋简体" w:cs="宋体"/>
                <w:color w:val="222222"/>
                <w:kern w:val="0"/>
                <w:sz w:val="44"/>
                <w:szCs w:val="44"/>
              </w:rPr>
              <w:t>质量管理体系认证规则</w:t>
            </w:r>
          </w:p>
          <w:p w14:paraId="219FD32F">
            <w:pPr>
              <w:widowControl/>
              <w:spacing w:line="600" w:lineRule="atLeast"/>
              <w:jc w:val="center"/>
              <w:rPr>
                <w:rFonts w:ascii="宋体" w:hAnsi="宋体" w:eastAsia="宋体" w:cs="宋体"/>
                <w:color w:val="222222"/>
                <w:kern w:val="0"/>
                <w:sz w:val="27"/>
                <w:szCs w:val="27"/>
              </w:rPr>
            </w:pPr>
            <w:r>
              <w:rPr>
                <w:rFonts w:hint="eastAsia" w:ascii="仿宋" w:hAnsi="宋体" w:eastAsia="仿宋" w:cs="宋体"/>
                <w:color w:val="222222"/>
                <w:kern w:val="0"/>
                <w:sz w:val="32"/>
                <w:szCs w:val="32"/>
              </w:rPr>
              <w:t> </w:t>
            </w:r>
          </w:p>
          <w:p w14:paraId="112D77E4">
            <w:pPr>
              <w:widowControl/>
              <w:spacing w:line="600" w:lineRule="atLeast"/>
              <w:jc w:val="center"/>
              <w:rPr>
                <w:rFonts w:ascii="宋体" w:hAnsi="宋体" w:eastAsia="宋体" w:cs="宋体"/>
                <w:color w:val="222222"/>
                <w:kern w:val="0"/>
                <w:sz w:val="27"/>
                <w:szCs w:val="27"/>
              </w:rPr>
            </w:pPr>
            <w:r>
              <w:rPr>
                <w:rFonts w:hint="eastAsia" w:ascii="仿宋" w:hAnsi="宋体" w:eastAsia="仿宋" w:cs="宋体"/>
                <w:color w:val="222222"/>
                <w:kern w:val="0"/>
                <w:sz w:val="32"/>
                <w:szCs w:val="32"/>
              </w:rPr>
              <w:t>目  录</w:t>
            </w:r>
          </w:p>
          <w:p w14:paraId="654474A8">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1.适用范围</w:t>
            </w:r>
          </w:p>
          <w:p w14:paraId="3038CE8F">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2.对认证机构的基本要求</w:t>
            </w:r>
          </w:p>
          <w:p w14:paraId="172D3687">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3.对认证审核人员的基本要求</w:t>
            </w:r>
          </w:p>
          <w:p w14:paraId="4D20B3BB">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4.初次认证程序</w:t>
            </w:r>
          </w:p>
          <w:p w14:paraId="749F6A54">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5.监督审核程序</w:t>
            </w:r>
          </w:p>
          <w:p w14:paraId="1993209A">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6.再认证程序</w:t>
            </w:r>
          </w:p>
          <w:p w14:paraId="535CC7D7">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7.暂停或撤销认证证书</w:t>
            </w:r>
          </w:p>
          <w:p w14:paraId="2AC4F081">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8.认证证书要求</w:t>
            </w:r>
          </w:p>
          <w:p w14:paraId="2C6751E7">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9.与其他管理体系的结合审核</w:t>
            </w:r>
          </w:p>
          <w:p w14:paraId="7936A532">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10.受理转换认证证书</w:t>
            </w:r>
          </w:p>
          <w:p w14:paraId="39CBD696">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11.受理组织的申诉</w:t>
            </w:r>
          </w:p>
          <w:p w14:paraId="2300118F">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12.认证记录的管理</w:t>
            </w:r>
          </w:p>
          <w:p w14:paraId="4B44168E">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13.其他</w:t>
            </w:r>
          </w:p>
          <w:p w14:paraId="7A878B42">
            <w:pPr>
              <w:widowControl/>
              <w:spacing w:line="60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附录A 质量管理体系认证审核时间要求</w:t>
            </w:r>
          </w:p>
          <w:p w14:paraId="27FB3EA1">
            <w:pPr>
              <w:widowControl/>
              <w:spacing w:line="469" w:lineRule="atLeast"/>
              <w:jc w:val="center"/>
              <w:rPr>
                <w:rFonts w:ascii="宋体" w:hAnsi="宋体" w:eastAsia="宋体" w:cs="宋体"/>
                <w:color w:val="222222"/>
                <w:kern w:val="0"/>
                <w:sz w:val="27"/>
                <w:szCs w:val="27"/>
              </w:rPr>
            </w:pPr>
            <w:r>
              <w:rPr>
                <w:rFonts w:ascii="宋体" w:hAnsi="宋体" w:eastAsia="宋体" w:cs="宋体"/>
                <w:color w:val="222222"/>
                <w:kern w:val="0"/>
                <w:sz w:val="28"/>
                <w:szCs w:val="28"/>
              </w:rPr>
              <w:t> </w:t>
            </w:r>
          </w:p>
          <w:p w14:paraId="4D0B8553">
            <w:pPr>
              <w:widowControl/>
              <w:spacing w:line="560" w:lineRule="atLeast"/>
              <w:ind w:firstLine="560"/>
              <w:jc w:val="left"/>
              <w:rPr>
                <w:rFonts w:ascii="宋体" w:hAnsi="宋体" w:eastAsia="宋体" w:cs="宋体"/>
                <w:color w:val="222222"/>
                <w:kern w:val="0"/>
                <w:sz w:val="27"/>
                <w:szCs w:val="27"/>
              </w:rPr>
            </w:pPr>
            <w:r>
              <w:rPr>
                <w:rFonts w:hint="eastAsia" w:ascii="仿宋" w:hAnsi="微软雅黑" w:eastAsia="仿宋" w:cs="宋体"/>
                <w:color w:val="222222"/>
                <w:kern w:val="0"/>
                <w:sz w:val="28"/>
                <w:szCs w:val="28"/>
              </w:rPr>
              <w:br w:type="page"/>
            </w:r>
            <w:r>
              <w:rPr>
                <w:rFonts w:hint="eastAsia" w:ascii="方正仿宋简体" w:hAnsi="宋体" w:eastAsia="方正仿宋简体" w:cs="宋体"/>
                <w:color w:val="222222"/>
                <w:kern w:val="0"/>
                <w:sz w:val="32"/>
                <w:szCs w:val="32"/>
              </w:rPr>
              <w:t>1适用范围</w:t>
            </w:r>
          </w:p>
          <w:p w14:paraId="65FA744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1.1本规则用于规范依据GB/T 19001/ISO 9001《质量管理体系要求》标准在中国境内开展的质量管理体系认证活动。</w:t>
            </w:r>
          </w:p>
          <w:p w14:paraId="7AA3F02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1.2本规则依据认证认可相关法律法规，结合相关技术标准，对质量管理体系认证实施过程作出具体规定，明确认证机构对认证过程的管理责任，保证质量管理体系认证活动的规范有效。</w:t>
            </w:r>
          </w:p>
          <w:p w14:paraId="14BF6EF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1.3本规则是认证机构在质量管理体系认证活动中的基本要求，相关机构在该项认证活动中应当遵守本规则。</w:t>
            </w:r>
          </w:p>
          <w:p w14:paraId="5F96613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2对认证机构的基本要求</w:t>
            </w:r>
          </w:p>
          <w:p w14:paraId="12D2DE3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2.1获得国家认监委批准、取得从事质量管理体系认证的资质。</w:t>
            </w:r>
          </w:p>
          <w:p w14:paraId="5501D23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2.2认证能力、内部管理和工作体系符合GB/T 27021/ISO/IEC 17021-1《合格评定 管理体系审核认证机构要求》。</w:t>
            </w:r>
          </w:p>
          <w:p w14:paraId="37F852A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2.3建立内部制约、监督和责任机制，实现培训（包括相关增值服务）、审核和作出认证决定等工作环节相互分开，符合认证公正性要求。</w:t>
            </w:r>
          </w:p>
          <w:p w14:paraId="2FB5DAE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2.4鼓励认证机构通过国家认监委确定的认可机构的认可，证明其认证能力、内部管理和工作体系符合GB/T 27021/ISO/IEC 17021-1《合格评定 管理体系审核认证机构要求》。</w:t>
            </w:r>
          </w:p>
          <w:p w14:paraId="137EBACF">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2.5不得将申请认证的组织（以下简称申请组织）是否获得认证与参与认证审核的审核员及其他人员的薪酬挂钩。</w:t>
            </w:r>
          </w:p>
          <w:p w14:paraId="4C14D5F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3对认证审核人员的基本要求</w:t>
            </w:r>
          </w:p>
          <w:p w14:paraId="7DF18C20">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3.1认证审核员应当取得国家认监委确定的认证人员注册机构颁发的质量管理体系审核员注册资格。</w:t>
            </w:r>
          </w:p>
          <w:p w14:paraId="3F1F26F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3.2认证人员应当遵守与从业相关的法律法规，对认证审核活动及相关认证审核记录和认证审核报告的真实性承担相应的法律责任。</w:t>
            </w:r>
          </w:p>
          <w:p w14:paraId="7AD6B7F0">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4初次认证程序 </w:t>
            </w:r>
          </w:p>
          <w:p w14:paraId="2D57B0B1">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4.1受理认证申请</w:t>
            </w:r>
          </w:p>
          <w:p w14:paraId="1943300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4.1.1认证机构应向申请组织至少公开以下信息：</w:t>
            </w:r>
          </w:p>
          <w:p w14:paraId="34AF683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（1）可开展认证业务的范围，以及获得认可的情况。</w:t>
            </w:r>
          </w:p>
          <w:p w14:paraId="1717DB9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（2）本规则的完整内容。</w:t>
            </w:r>
          </w:p>
          <w:p w14:paraId="3F02A78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（3）认证证书样式。</w:t>
            </w:r>
          </w:p>
          <w:p w14:paraId="20A7CE6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（4）对认证过程的申投诉规定。</w:t>
            </w:r>
          </w:p>
          <w:p w14:paraId="63063DB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4.1.2认证机构应当要求申请组织至少提交以下资料：</w:t>
            </w:r>
          </w:p>
          <w:p w14:paraId="436CCD3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（1）认证申请书，申请书应包括申请认证的生产、经营或服务活动范围及活动情况的说明。</w:t>
            </w:r>
          </w:p>
          <w:p w14:paraId="77405091">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（2）法律地位的证明文件的复印件。若质量管理体系覆盖多场所活动，应附每个场所的法律地位证明文件的复印件（适用时）。</w:t>
            </w:r>
          </w:p>
          <w:p w14:paraId="05F61879">
            <w:pPr>
              <w:widowControl/>
              <w:spacing w:line="560" w:lineRule="atLeast"/>
              <w:ind w:firstLine="614"/>
              <w:jc w:val="left"/>
              <w:rPr>
                <w:rFonts w:ascii="微软雅黑" w:hAnsi="微软雅黑" w:eastAsia="微软雅黑" w:cs="宋体"/>
                <w:color w:val="222222"/>
                <w:kern w:val="0"/>
                <w:sz w:val="27"/>
                <w:szCs w:val="27"/>
              </w:rPr>
            </w:pPr>
            <w:r>
              <w:rPr>
                <w:rFonts w:hint="eastAsia" w:ascii="方正仿宋简体" w:hAnsi="微软雅黑" w:eastAsia="方正仿宋简体" w:cs="宋体"/>
                <w:color w:val="222222"/>
                <w:kern w:val="0"/>
                <w:sz w:val="32"/>
                <w:szCs w:val="32"/>
              </w:rPr>
              <w:t>（3）质量管理体系覆盖的活动所涉及法律法规要求的行政许可证明、资质证书、强制性认证证书等的复印件。</w:t>
            </w:r>
          </w:p>
          <w:p w14:paraId="7D58EB32">
            <w:pPr>
              <w:widowControl/>
              <w:spacing w:line="560" w:lineRule="atLeast"/>
              <w:ind w:firstLine="614"/>
              <w:jc w:val="left"/>
              <w:rPr>
                <w:rFonts w:hint="eastAsia" w:ascii="微软雅黑" w:hAnsi="微软雅黑" w:eastAsia="微软雅黑" w:cs="宋体"/>
                <w:color w:val="222222"/>
                <w:kern w:val="0"/>
                <w:sz w:val="27"/>
                <w:szCs w:val="27"/>
              </w:rPr>
            </w:pPr>
            <w:r>
              <w:rPr>
                <w:rFonts w:hint="eastAsia" w:ascii="方正仿宋简体" w:hAnsi="微软雅黑" w:eastAsia="方正仿宋简体" w:cs="宋体"/>
                <w:color w:val="222222"/>
                <w:kern w:val="0"/>
                <w:sz w:val="32"/>
                <w:szCs w:val="32"/>
              </w:rPr>
              <w:t>（4）质量管理体系成文信息 (适用时)。</w:t>
            </w:r>
          </w:p>
          <w:p w14:paraId="0D76A185">
            <w:pPr>
              <w:widowControl/>
              <w:spacing w:line="560" w:lineRule="atLeast"/>
              <w:ind w:firstLine="614"/>
              <w:jc w:val="left"/>
              <w:rPr>
                <w:rFonts w:hint="eastAsia"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4.1.3认证机构应对申请组织提交的申请资料进行评审，根据申请认证的活动范围及场所、员工人数、完成审核所需时间和其他影响认证活动的因素，综合确定是否有能力受理认证申请。</w:t>
            </w:r>
          </w:p>
          <w:p w14:paraId="492815D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对被执法监管部门责令停业整顿或在全国企业信用信息公示系统中被列入“严重违法企业名单”的申请组织，认证机构不应受理其认证申请。</w:t>
            </w:r>
          </w:p>
          <w:p w14:paraId="57CA44B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4.1.4对符合4.1.2、4.1.3要求的，认证机构可决定受理认证申请；对不符合上述要求的，认证机构应通知申请组织补充和完善，或者不受理认证申请。</w:t>
            </w:r>
          </w:p>
          <w:p w14:paraId="55333A2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4.1.5签订认证合同</w:t>
            </w:r>
          </w:p>
          <w:p w14:paraId="212CF0F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在实施认证审核前，认证机构应与申请组织订立具有法律效力的书面认证合同，合同应至少包含以下内容：</w:t>
            </w:r>
          </w:p>
          <w:p w14:paraId="0C7C2A6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（1）申请组织获得认证后持续有效运行质量管理体系的承诺。</w:t>
            </w:r>
          </w:p>
          <w:p w14:paraId="51988E5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（2）申请组织对遵守认证认可相关法律法规，协助认证监管部门的监督检查，对有关事项的询问和调查如实提供相关材料和信息的承诺。</w:t>
            </w:r>
          </w:p>
          <w:p w14:paraId="5532451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（3）申请组织承诺获得认证后发生以下情况时，应及时向认证机构通报：</w:t>
            </w:r>
          </w:p>
          <w:p w14:paraId="7C8DFD9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①客户及相关方有重大投诉。</w:t>
            </w:r>
          </w:p>
          <w:p w14:paraId="065200B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②生产、销售的产品或提供的服务被质量或市场监管部门认定不合格。</w:t>
            </w:r>
          </w:p>
          <w:p w14:paraId="42E92A1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③发生产品和服务的质量安全事故。</w:t>
            </w:r>
          </w:p>
          <w:p w14:paraId="5E35DBD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④相关情况发生变更，包括：法律地位、生产经营状况、组织状态或所有权变更；取得的行政许可资格、强制性认证或其他资质证书变更；法定代表人、最高管理者变更；生产经营或服务的工作场所变更；质量管理体系覆盖的活动范围变更；质量管理体系和重要过程的重大变更等。</w:t>
            </w:r>
          </w:p>
          <w:p w14:paraId="4C6C760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⑤出现影响质量管理体系运行的其他重要情况。</w:t>
            </w:r>
          </w:p>
          <w:p w14:paraId="3987621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（4）申请组织承诺获得认证后正确使用认证证书、认证标志和有关信息，不利用质量管理体系认证证书和相关文字、符号误导公众认为其产品或服务通过认证。</w:t>
            </w:r>
          </w:p>
          <w:p w14:paraId="1D963FA4">
            <w:pPr>
              <w:widowControl/>
              <w:spacing w:line="560" w:lineRule="atLeast"/>
              <w:ind w:firstLine="614"/>
              <w:jc w:val="left"/>
              <w:rPr>
                <w:rFonts w:ascii="宋体" w:hAnsi="宋体" w:eastAsia="宋体" w:cs="宋体"/>
                <w:color w:val="222222"/>
                <w:kern w:val="0"/>
                <w:sz w:val="27"/>
                <w:szCs w:val="27"/>
                <w:highlight w:val="yellow"/>
              </w:rPr>
            </w:pPr>
            <w:r>
              <w:rPr>
                <w:rFonts w:hint="eastAsia" w:ascii="方正仿宋简体" w:hAnsi="宋体" w:eastAsia="方正仿宋简体" w:cs="宋体"/>
                <w:color w:val="222222"/>
                <w:kern w:val="0"/>
                <w:sz w:val="32"/>
                <w:szCs w:val="32"/>
              </w:rPr>
              <w:t>（</w:t>
            </w:r>
            <w:r>
              <w:rPr>
                <w:rFonts w:hint="eastAsia" w:ascii="方正仿宋简体" w:hAnsi="宋体" w:eastAsia="方正仿宋简体" w:cs="宋体"/>
                <w:color w:val="222222"/>
                <w:kern w:val="0"/>
                <w:sz w:val="32"/>
                <w:szCs w:val="32"/>
                <w:highlight w:val="yellow"/>
              </w:rPr>
              <w:t>5）拟认证的质量管理体系覆盖的生产或服务的活动范围。</w:t>
            </w:r>
          </w:p>
          <w:p w14:paraId="633E6AF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（6）在认证审核实施过程及认证证书有效期内，认证机构和申请组织各自应当承担的责任、权利和义务。</w:t>
            </w:r>
          </w:p>
          <w:p w14:paraId="6C40765F">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（7）认证服务的费用、付费方式及违约条款。</w:t>
            </w:r>
          </w:p>
          <w:p w14:paraId="2C9C94F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4.2审核策划</w:t>
            </w:r>
          </w:p>
          <w:p w14:paraId="0FA87CFF">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4.2.1审核时间</w:t>
            </w:r>
          </w:p>
          <w:p w14:paraId="255C5EA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4.2.1.1为确保认证审核的完整有效，认证机构应以附录A所规定的审核时间为基础，根据申请组织质量管理体系覆盖的活动范围、特性、技术复杂程度、质量安全风险程度、认证要求和体系覆盖范围内的有效人数等情况，核算并拟定完成审核工作需要的时间。在特殊情况下，可以减少审核时间，但减少的时间不得超过附录A所规定的审核时间的 30％。</w:t>
            </w:r>
          </w:p>
          <w:p w14:paraId="2BF7F9D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4.2.1.2 整个审核时间中，现场审核时间不应少于总审核时间的80％。 </w:t>
            </w:r>
          </w:p>
          <w:p w14:paraId="5D515C9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4.2.2审核组</w:t>
            </w:r>
          </w:p>
          <w:p w14:paraId="6E0DD08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4.2.2.1认证机构应当根据质量管理体系覆盖的活动的专业技术领域选择具备相关能力的审核员组成审核组，必要时可以选择技术专家参加审核组。审核组中的审核员承担审核任务和责任。</w:t>
            </w:r>
          </w:p>
          <w:p w14:paraId="15FE88E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4.2.2.2技术专家主要负责提供认证审核的技术支持，不作为审核员实施审核，不计入审核时间，其在审核过程中的活动由审核组中的审核员承担责任。</w:t>
            </w:r>
          </w:p>
          <w:p w14:paraId="0EF6191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4.2.2.3审核组可以有实习审核员，其要在审核员的指导下参与审核，不计入审核时间，不单独出具记录等审核文件，其在审核过程中的活动由审核组中的审核员承担责任。</w:t>
            </w:r>
          </w:p>
          <w:p w14:paraId="1AD54591">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4.2.3审核计划</w:t>
            </w:r>
          </w:p>
          <w:p w14:paraId="257724D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4.2.3.1认证机构应为每次审核制定书面的审核计划（第一阶段审核不要求正式的审核计划）。审核计划至少包括以下内容：审核目的，审核准则，审核范围，现场审核的日期和场所，现场审核持续时间，审核组成员（其中：审核员应标明认证人员注册号;技术专家应标明专业代码、工作单位及专业技术职称）。 </w:t>
            </w:r>
            <w:bookmarkStart w:id="2" w:name="_GoBack"/>
            <w:bookmarkEnd w:id="2"/>
          </w:p>
          <w:p w14:paraId="3E729E71">
            <w:pPr>
              <w:widowControl/>
              <w:spacing w:line="560" w:lineRule="atLeast"/>
              <w:ind w:firstLine="614"/>
              <w:jc w:val="left"/>
              <w:rPr>
                <w:rFonts w:ascii="宋体" w:hAnsi="宋体" w:eastAsia="宋体" w:cs="宋体"/>
                <w:color w:val="222222"/>
                <w:kern w:val="0"/>
                <w:sz w:val="27"/>
                <w:szCs w:val="27"/>
                <w:highlight w:val="red"/>
              </w:rPr>
            </w:pPr>
            <w:r>
              <w:rPr>
                <w:rFonts w:hint="eastAsia" w:ascii="方正仿宋简体" w:hAnsi="宋体" w:eastAsia="方正仿宋简体" w:cs="宋体"/>
                <w:color w:val="222222"/>
                <w:kern w:val="0"/>
                <w:sz w:val="32"/>
                <w:szCs w:val="32"/>
              </w:rPr>
              <w:t xml:space="preserve">4.2.3.2 </w:t>
            </w:r>
            <w:r>
              <w:rPr>
                <w:rFonts w:hint="eastAsia" w:ascii="方正仿宋简体" w:hAnsi="宋体" w:eastAsia="方正仿宋简体" w:cs="宋体"/>
                <w:color w:val="222222"/>
                <w:kern w:val="0"/>
                <w:sz w:val="32"/>
                <w:szCs w:val="32"/>
                <w:highlight w:val="red"/>
              </w:rPr>
              <w:t>如果质量管理体系覆盖范围包括在多个场所进行相同或相近的活动，且这些场所都处于申请组织授权和控制下，</w:t>
            </w:r>
            <w:r>
              <w:rPr>
                <w:rFonts w:hint="eastAsia" w:ascii="方正仿宋简体" w:hAnsi="宋体" w:eastAsia="方正仿宋简体" w:cs="宋体"/>
                <w:color w:val="222222"/>
                <w:kern w:val="0"/>
                <w:sz w:val="32"/>
                <w:szCs w:val="32"/>
                <w:highlight w:val="yellow"/>
              </w:rPr>
              <w:t>认证机构可以在审核中对这些场所进行抽样，但应根据相关要求实施抽样以确保对所抽样本进行的审核对质量管理体系包含的所有场所具有代表性</w:t>
            </w:r>
            <w:r>
              <w:rPr>
                <w:rFonts w:hint="eastAsia" w:ascii="方正仿宋简体" w:hAnsi="宋体" w:eastAsia="方正仿宋简体" w:cs="宋体"/>
                <w:color w:val="222222"/>
                <w:kern w:val="0"/>
                <w:sz w:val="32"/>
                <w:szCs w:val="32"/>
              </w:rPr>
              <w:t>。</w:t>
            </w:r>
            <w:r>
              <w:rPr>
                <w:rFonts w:hint="eastAsia" w:ascii="方正仿宋简体" w:hAnsi="宋体" w:eastAsia="方正仿宋简体" w:cs="宋体"/>
                <w:color w:val="222222"/>
                <w:kern w:val="0"/>
                <w:sz w:val="32"/>
                <w:szCs w:val="32"/>
                <w:highlight w:val="red"/>
              </w:rPr>
              <w:t>如果不同场所的活动存在明显差异、或不同场所间存在可能对质量管理有显著影响的区域性因素，则不能采用抽样审核的方法，应当逐一到各现场进行审核。</w:t>
            </w:r>
          </w:p>
          <w:p w14:paraId="084E59F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4.2.3.3为使现场审核活动能够观察到产品生产或服务活动情况，现场审核应安排在认证范围覆盖的产品生产或服务活动正常运行时进行。</w:t>
            </w:r>
          </w:p>
          <w:p w14:paraId="577834C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4.2.3.4在审核活动开始前，审核组应将审核计划交申请组织确认，遇特殊情况临时变更计划时，应及时将变更情况通知申请组织，并协商一致。</w:t>
            </w:r>
          </w:p>
          <w:p w14:paraId="63E52A8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4.3实施审核 </w:t>
            </w:r>
          </w:p>
          <w:p w14:paraId="13B277D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4.3.1审核组应当按照审核计划的安排完成审核工作。除不可预见的特殊情况外，审核过程中不得更换审核计划确定的审核员。</w:t>
            </w:r>
          </w:p>
          <w:p w14:paraId="17011F6F">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4.3.2审核组应当会同申请组织按照程序顺序召开首、末次会议，申请组织的最高管理者及与质量管理体系相关的职能部门负责人员应该参加会议。参会人员应签到，审核组应当保留首、末次会议签到表。申请组织要求时，审核组成员应向申请组织出示身份证明文件。</w:t>
            </w:r>
          </w:p>
          <w:p w14:paraId="2200166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4.3.3审核过程及环节</w:t>
            </w:r>
          </w:p>
          <w:p w14:paraId="44F6519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4.3.3.1初次认证审核，分为第一、二阶段实施审核。</w:t>
            </w:r>
          </w:p>
          <w:p w14:paraId="40336D3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4.3.3.2第一阶段审核应至少覆盖以下内容： </w:t>
            </w:r>
          </w:p>
          <w:p w14:paraId="454A9B4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（1）结合现场情况，确认申请组织实际情况与质量管理体系成文信息描述的一致性，特别是体系成文信息中描述的产品和服务、部门设置和职责与权限、生产或服务过程等是否与申请组织的实际情况相一致。</w:t>
            </w:r>
          </w:p>
          <w:p w14:paraId="3C58917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（2）结合现场情况，审核申请组织理解和实施GB/T 19001/ISO 9001标准要求的情况，评价质量管理体系运行过程中是否实施了内部审核与管理评审，确认质量管理体系是否已运行并且超过3个月。</w:t>
            </w:r>
          </w:p>
          <w:p w14:paraId="330FC25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（3）确认申请组织建立的质量管理体系覆盖的活动内容和范围、体系覆盖范围内有效人数、过程和场所，遵守适用的法律法规及强制性标准的情况。</w:t>
            </w:r>
          </w:p>
          <w:p w14:paraId="13BDF3D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（4）结合质量管理体系覆盖产品和服务的特点识别对质量目标的实现具有重要影响的关键点，并结合其他因素，科学确定重要审核点。</w:t>
            </w:r>
          </w:p>
          <w:p w14:paraId="29E1F22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（5）与申请组织讨论确定第二阶段审核安排。对质量管理体系成文信息不符合现场实际、相关体系运行尚未超过3个月或者无法证明超过3个月的，以及其他不具备二阶段审核条件的，不应实施二阶段审核。</w:t>
            </w:r>
          </w:p>
          <w:p w14:paraId="56B9D7D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4.3.3.3在下列情况，第一阶段审核可以不在申请组织现场进行，但应记录未在现场进行的原因：</w:t>
            </w:r>
          </w:p>
          <w:p w14:paraId="2E63A86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（1）申请组织已获本认证机构颁发的其他有效认证证书，认证机构已对申请组织质量管理体系有充分了解。</w:t>
            </w:r>
          </w:p>
          <w:p w14:paraId="598F3E3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（2）认证机构有充足的理由证明申请组织的生产经营或服务的技术特征明显、过程简单，通过对其提交文件和资料的审查可以达到第一阶段审核的目的和要求。</w:t>
            </w:r>
          </w:p>
          <w:p w14:paraId="097823A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（3）申请组织获得了其他经认可机构认可的认证机构颁发的有效的质量管理体系认证证书，通过对其文件和资料的审查可以达到第一阶段审核的目的和要求。</w:t>
            </w:r>
          </w:p>
          <w:p w14:paraId="03B25D9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除以上情况之外，第一阶段审核应在受审核方的生产经营或服务现场进行。</w:t>
            </w:r>
          </w:p>
          <w:p w14:paraId="357BE221">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4.3.3.4审核组应将第一阶段审核情况形成书面文件告知申请组织。对在第二阶段审核中可能被判定为不符合项的重要关键点，要及时提醒申请组织特别关注。</w:t>
            </w:r>
          </w:p>
          <w:p w14:paraId="7714031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4.3.3.5第二阶段审核应当在申请组织现场进行。重点是审核质量管理体系符合GB/T 19001/ISO 9001标准要求和有效运行情况，应至少覆盖以下内容：</w:t>
            </w:r>
          </w:p>
          <w:p w14:paraId="0A2A763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（1）在第一阶段审核中识别的重要审核点的过程控制的有效性。</w:t>
            </w:r>
          </w:p>
          <w:p w14:paraId="34A73D2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（2）为实现质量方针而在相关职能、层次和过程上建立质量目标是否具体适用、可测量并得到沟通、监视。</w:t>
            </w:r>
          </w:p>
          <w:p w14:paraId="09532ADF">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（3）对质量管理体系覆盖的过程和活动的管理及控制情况。</w:t>
            </w:r>
          </w:p>
          <w:p w14:paraId="7419EBF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（4）申请组织实际工作记录是否真实。对于审核发现的真实性存疑的证据应予以记录并在做出审核结论及认证决定时予以考虑。</w:t>
            </w:r>
          </w:p>
          <w:p w14:paraId="22E3B37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（5）申请组织的内部审核和管理评审是否有效。</w:t>
            </w:r>
          </w:p>
          <w:p w14:paraId="4C43208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4.3.4发生以下情况时，审核组应向认证机构报告，经认证机构同意后终止审核。</w:t>
            </w:r>
          </w:p>
          <w:p w14:paraId="0F9FD77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（1）受审核方对审核活动不予配合，审核活动无法进行。</w:t>
            </w:r>
          </w:p>
          <w:p w14:paraId="535C8D40">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（2）受审核方实际情况与申请材料有重大不一致。</w:t>
            </w:r>
          </w:p>
          <w:p w14:paraId="008DDB0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（3）其他导致审核程序无法完成的情况。</w:t>
            </w:r>
          </w:p>
          <w:p w14:paraId="22EFA84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4.4审核报告</w:t>
            </w:r>
          </w:p>
          <w:p w14:paraId="768BC0D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4.4.1审核组应对审核活动形成书面审核报告，由审核组组长签字。审核报告应准确、简明和清晰地描述审核活动的主要内容，至少包括以下内容：</w:t>
            </w:r>
          </w:p>
          <w:p w14:paraId="43F7E3E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（1）申请组织的名称和地址。</w:t>
            </w:r>
          </w:p>
          <w:p w14:paraId="6F378E7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（2）申请组织活动范围和场所。</w:t>
            </w:r>
          </w:p>
          <w:p w14:paraId="106D275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（3）审核的类型、准则和目的。</w:t>
            </w:r>
          </w:p>
          <w:p w14:paraId="0AE0761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（4）审核组组长、审核组成员及其个人注册信息。</w:t>
            </w:r>
          </w:p>
          <w:p w14:paraId="18F6B0F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（5）审核活动的实施日期和地点，包括固定现场和临时现场；对偏离审核计划情况的说明，包括对审核风险及影响审核结论的不确定性的客观陈述。</w:t>
            </w:r>
          </w:p>
          <w:p w14:paraId="1FC86E2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（6）叙述从4.3条列明的程序及各项要求的审核工作情况，其中：对4.3.3.5条的各项审核要求应逐项描述或引用审核证据、审核发现和审核结论；对质量目标和过程及质量绩效实现情况进行评价。</w:t>
            </w:r>
          </w:p>
          <w:p w14:paraId="35B7156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（7）识别出的不符合项。</w:t>
            </w:r>
          </w:p>
          <w:p w14:paraId="0B971A5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（8）审核组对是否通过认证的意见建议。</w:t>
            </w:r>
          </w:p>
          <w:p w14:paraId="4D1B5ED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4.4.2认证机构应保留用于证实审核报告中相关信息的证据。</w:t>
            </w:r>
          </w:p>
          <w:p w14:paraId="5C97564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4.4.3认证机构应在作出认证决定后30个工作日内将审核报告提交申请组织，并保留签收或提交的证据。</w:t>
            </w:r>
          </w:p>
          <w:p w14:paraId="40BEEF61">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4.4.4对终止审核的项目，审核组应将已开展的工作情况形成报告，认证机构应将此报告及终止审核的原因提交给申请组织，并保留签收或提交的证据。</w:t>
            </w:r>
          </w:p>
          <w:p w14:paraId="4F692720">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4.5不符合项的纠正和纠正措施及其结果的验证</w:t>
            </w:r>
          </w:p>
          <w:p w14:paraId="71E249A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4.5.1对审核中发现的不符合项，认证机构应要求申请组织分析原因，并提出纠正和纠正措施。对于严重不符合，应要求申请组织在最多不超过6个月期限内采取纠正和纠正措施。认证机构应对申请组织所采取的纠正和纠正措施及其结果的有效性进行验证。如果未能在第二阶段结束后6个月内验证对严重不符合实施的纠正和纠正措施，则应按4.6.5条处理，或者按照4.3.3.5条重新实施第二阶段审核。</w:t>
            </w:r>
          </w:p>
          <w:p w14:paraId="264640F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4.6认证决定</w:t>
            </w:r>
          </w:p>
          <w:p w14:paraId="11FF26F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4.6.1认证机构应该在对审核报告、不符合项的纠正和纠正措施及其结果进行综合评价基础上，作出认证决定。</w:t>
            </w:r>
          </w:p>
          <w:p w14:paraId="1CDEBBA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4.6.2认证决定人员应为认证机构管理控制下的人员，审核组成员不得参与对审核项目的认证决定。</w:t>
            </w:r>
          </w:p>
          <w:p w14:paraId="7935736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4.6.3认证机构在作出认证决定前应确认如下情形：</w:t>
            </w:r>
          </w:p>
          <w:p w14:paraId="68B37DE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（1）审核报告符合本规则第4.4条要求，审核组提供的审核报告及其他信息能够满足作出认证决定所需要的信息。</w:t>
            </w:r>
          </w:p>
          <w:p w14:paraId="11FE098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（2）反映以下问题的不符合项，认证机构已评审、接受并验证了纠正和纠正措施的有效性。</w:t>
            </w:r>
          </w:p>
          <w:p w14:paraId="1B5D1A5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①在持续改进质量管理体系的有效性方面存在缺陷，实现质量目标有重大疑问。</w:t>
            </w:r>
          </w:p>
          <w:p w14:paraId="72BF402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②制定的质量目标不可测量、或测量方法不明确。</w:t>
            </w:r>
          </w:p>
          <w:p w14:paraId="33682E5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③对实现质量目标具有重要影响的关键点的监视和测量未有效运行，或者对这些关键点的报告或评审记录不完整或无效。</w:t>
            </w:r>
          </w:p>
          <w:p w14:paraId="0663B0E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④其他严重不符合项。</w:t>
            </w:r>
          </w:p>
          <w:p w14:paraId="7ED4076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（3）认证机构对其他一般不符合项已评审，并接受了申请组织计划采取的纠正和纠正措施。</w:t>
            </w:r>
          </w:p>
          <w:p w14:paraId="46EE81F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4.6.4在满足4.6.3条要求的基础上，认证机构有充分的客观证据证明申请组织满足下列要求的，评定该申请组织符合认证要求，向其颁发认证证书。</w:t>
            </w:r>
          </w:p>
          <w:p w14:paraId="1CA2C86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（1）申请组织的质量管理体系符合标准要求且运行有效。</w:t>
            </w:r>
          </w:p>
          <w:p w14:paraId="4C715E9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（2）认证范围覆盖的产品和服务符合相关法律法规要求。</w:t>
            </w:r>
          </w:p>
          <w:p w14:paraId="6C788E8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（3）申请组织按照认证合同规定履行了相关义务。</w:t>
            </w:r>
          </w:p>
          <w:p w14:paraId="3AADC96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4.6.5申请组织不能满足上述要求或者存在以下情况的，评定该申请组织不符合认证要求，以书面形式告知申请组织并说明其未通过认证的原因。</w:t>
            </w:r>
          </w:p>
          <w:p w14:paraId="782CA63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（1）受审核方的质量管理体系有重大缺陷，不符合GB/T 19001/ISO 9001标准的要求。</w:t>
            </w:r>
          </w:p>
          <w:p w14:paraId="34AED9D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（2）发现受审核方存在重大质量安全问题或有其他与产品和服务质量相关严重违法违规行为。</w:t>
            </w:r>
          </w:p>
          <w:p w14:paraId="58A2127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4.6.6认证机构在颁发认证证书后，应当在30个工作日内按照规定的要求将认证结果相关信息报送国家认监委。 </w:t>
            </w:r>
          </w:p>
          <w:p w14:paraId="6B7CD9F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5监督审核程序</w:t>
            </w:r>
          </w:p>
          <w:p w14:paraId="4D89F14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5.1认证机构应对持有其颁发的质量管理体系认证证书的组织（以下称获证组织）进行有效跟踪，监督获证组织持续运行质量管理体系并符合认证要求。</w:t>
            </w:r>
          </w:p>
          <w:p w14:paraId="06EDA69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5.2为确保达到5.1条要求，认证机构应根据获证组织的产品和服务的质量风险程度或其他特性，确定对获证组织的监督审核的频次。</w:t>
            </w:r>
          </w:p>
          <w:p w14:paraId="08532CD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5.2.1作为最低要求，初次认证后的第一次监督审核应在认证证书签发日起12个月内进行。此后，监督审核应至少每个日历年（应进行再认证的年份除外）进行一次，且两次监督审核的时间间隔不得超过15个月。 </w:t>
            </w:r>
          </w:p>
          <w:p w14:paraId="2109FDB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5.2.2超过期限而未能实施监督审核的，应按7.2或7.3条处理。</w:t>
            </w:r>
          </w:p>
          <w:p w14:paraId="1EAD9E4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5.2.3获证企业的产品在产品质量国家监督抽查中被查出不合格时，自国家质检总局发出通报起30日内，认证机构应对该企业实施监督审核。</w:t>
            </w:r>
          </w:p>
          <w:p w14:paraId="702C254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5.3监督审核的时间，应不少于按4.2.1条计算审核时间人日数的1/3。</w:t>
            </w:r>
          </w:p>
          <w:p w14:paraId="7FACAC0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5.4监督审核的审核组，应符合4.2.2条和4.3.1条的要求。</w:t>
            </w:r>
          </w:p>
          <w:p w14:paraId="5F4212A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5.5监督审核应在获证组织现场进行，且应满足第4.2.3.3条确定的条件。由于市场、季节性等原因，在每次监督审核时难以覆盖所有产品和服务的，在认证证书有效期内的监督审核需覆盖认证范围内的所有产品和服务。</w:t>
            </w:r>
          </w:p>
          <w:p w14:paraId="69A58A5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5.6监督审核时至少应审核以下内容：</w:t>
            </w:r>
          </w:p>
          <w:p w14:paraId="34D4B89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（1）上次审核以来质量管理体系覆盖的活动及影响体系的重要变更及运行体系的资源是否有变更。</w:t>
            </w:r>
          </w:p>
          <w:p w14:paraId="6E4A62D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（2）按4.3.3.2（4）条要求已识别的重要关键点是否按质量管理体系的要求在正常和有效运行。</w:t>
            </w:r>
          </w:p>
          <w:p w14:paraId="268842C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（3）对上次审核中确定的不符合项采取的纠正和纠正措施是否继续有效。</w:t>
            </w:r>
          </w:p>
          <w:p w14:paraId="02E9CC2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（4）质量管理体系覆盖的活动涉及法律法规规定的，是否持续符合相关规定。</w:t>
            </w:r>
          </w:p>
          <w:p w14:paraId="41ED4F8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（5）质量目标及质量绩效是否达到质量管理体系确定值。如果没有达到，获证组织是否运行内审机制识别了原因、是否运行管理评审机制确定并实施了改进措施。</w:t>
            </w:r>
          </w:p>
          <w:p w14:paraId="5BECE351">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（6）获证组织对认证标志的使用或对认证资格的引用是否符合《认证认可条例》及其他相关规定。</w:t>
            </w:r>
          </w:p>
          <w:p w14:paraId="27CF4CD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（7）内部审核和管理评审是否规范和有效。</w:t>
            </w:r>
          </w:p>
          <w:p w14:paraId="4F552F6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（8）是否及时接受和处理投诉。</w:t>
            </w:r>
          </w:p>
          <w:p w14:paraId="38B9BAB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（9）针对体系运行中发现的问题或投诉，及时制定并实施了有效的改进措施。</w:t>
            </w:r>
          </w:p>
          <w:p w14:paraId="63E960D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5.7在监督审核中发现的不符合项，认证机构应要求获证组织分析原因，规定时限要求获证组织完成纠正和纠正措施并提供纠正和纠正措施有效性的证据。</w:t>
            </w:r>
          </w:p>
          <w:p w14:paraId="043C33A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认证机构应采用适宜的方式及时验证获证组织对不符合项进行处置的效果。</w:t>
            </w:r>
          </w:p>
          <w:p w14:paraId="2A735CE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5.8 监督审核的审核报告，应按5.6条列明的审核要求逐项描述或引用审核证据、审核发现和审核结论。</w:t>
            </w:r>
          </w:p>
          <w:p w14:paraId="16251FF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5.9 认证机构根据监督审核报告及其他相关信息，作出继续保持或暂停、撤销认证证书的决定。</w:t>
            </w:r>
          </w:p>
          <w:p w14:paraId="536F477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6再认证程序</w:t>
            </w:r>
          </w:p>
          <w:p w14:paraId="0FE3DB2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6.1认证证书期满前，若获证组织申请继续持有认证证书，认证机构应当实施再认证审核，并决定是否延续认证证书。</w:t>
            </w:r>
          </w:p>
          <w:p w14:paraId="533CCBF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6.2认证机构应按4.2.2条和4.3.1条要求组成审核组。按照4.2.3条要求并结合历次监督审核情况，制定再认证审核计划交审核组实施。</w:t>
            </w:r>
          </w:p>
          <w:p w14:paraId="2A35373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在质量管理体系及获证组织的内部和外部环境无重大变更时，再认证审核可省略第一阶段审核，但审核时间应不少于按4.2.1条计算人日数的2/3。 </w:t>
            </w:r>
          </w:p>
          <w:p w14:paraId="659F148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6.3对再认证审核中发现的严重不符合项，认证机构应规定时限要求获证组织实施纠正与纠正措施，并在原认证证书到期前完成对纠正与纠正措施的验证。 </w:t>
            </w:r>
          </w:p>
          <w:p w14:paraId="2071968F">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6.4认证机构按照4.6条要求作出再认证决定。获证组织继续满足认证要求并履行认证合同义务的，向其换发认证证书。</w:t>
            </w:r>
          </w:p>
          <w:p w14:paraId="3F38DE0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6.5如果在当前认证证书的终止日期前完成了再认证活动并决定换发证证书，新认证证书的终止日期可以基于当前认证证书的终止日期。新认证证书上的颁证日期应不早于再认证决定日期。</w:t>
            </w:r>
          </w:p>
          <w:p w14:paraId="7D92E55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如果在当前认证证书终止日期前，认证机构未能完成再认证审核或对严重不符合项实施的纠正和纠正措施未能进行验证，则不应予以再认证，也不应延长原认证证书的有效期。</w:t>
            </w:r>
          </w:p>
          <w:p w14:paraId="5A01B8B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在当前认证证书到期后，如果认证机构能够在6个月内完成未尽的再认证活动，则可以恢复认证，否则应至少进行一次第二阶段审核才能恢复认证。认证证书的生效日期应不早于再认证决定日期，终止日期应基于上一个认证周期。</w:t>
            </w:r>
          </w:p>
          <w:p w14:paraId="1AF35AB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7暂停或撤销认证证书 </w:t>
            </w:r>
          </w:p>
          <w:p w14:paraId="0736C4A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7.1认证机构应制定暂停、撤销认证证书或缩小认证范围的规定和文件化的管理制度，规定和管理制度应满足本规则相关要求。认证机构对认证证书的暂停和撤销处理应符合其管理制度，不得随意暂停或撤销认证证书。</w:t>
            </w:r>
          </w:p>
          <w:p w14:paraId="6AFD9C3F">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7.2暂停证书</w:t>
            </w:r>
          </w:p>
          <w:p w14:paraId="36E2FDB0">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7.2.1获证组织有以下情形之一的，认证机构应在调查核实后的5个工作日内暂停其认证证书。</w:t>
            </w:r>
          </w:p>
          <w:p w14:paraId="2805DB5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（1）质量管理体系持续或严重不满足认证要求，包括对质量管理体系运行有效性要求的。</w:t>
            </w:r>
          </w:p>
          <w:p w14:paraId="52198AE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（2）不承担、履行认证合同约定的责任和义务的。</w:t>
            </w:r>
          </w:p>
          <w:p w14:paraId="0BA8EB5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（3）被有关执法监管部门责令停业整顿的。</w:t>
            </w:r>
          </w:p>
          <w:p w14:paraId="6A7CF001">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（4）持有的与质量管理体系范围有关的行政许可证明、资质证书、强制性认证证书等过期失效，重新提交的申请已被受理但尚未换证的。</w:t>
            </w:r>
          </w:p>
          <w:p w14:paraId="1E1D9DF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（5）主动请求暂停的。</w:t>
            </w:r>
          </w:p>
          <w:p w14:paraId="3784B22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（6）其他应当暂停认证证书的。 </w:t>
            </w:r>
          </w:p>
          <w:p w14:paraId="5EF6453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7.2.2认证证书暂停期不得超过6个月。但属于7.2.1第（4）项情形的暂停期可至相关单位作出许可决定之日。</w:t>
            </w:r>
          </w:p>
          <w:p w14:paraId="10EE10B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7.2.3认证机构应以适当方式公开暂停认证证书的信息，明确暂停的起始日期和暂停期限，并声明在暂停期间获证组织不得以任何方式使用认证证书、认证标识或引用认证信息。</w:t>
            </w:r>
          </w:p>
          <w:p w14:paraId="50B39AD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7.3撤销证书</w:t>
            </w:r>
          </w:p>
          <w:p w14:paraId="74CE8B1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7.3.1获证组织有以下情形之一的，认证机构应在获得相关信息并调查核实后5个工作日内撤销其认证证书。</w:t>
            </w:r>
          </w:p>
          <w:p w14:paraId="403339F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（1）被注销或撤销法律地位证明文件的。</w:t>
            </w:r>
          </w:p>
          <w:p w14:paraId="41DE39A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（2）被国家质量监督检验检疫总局列入质量信用严重失信企业名单</w:t>
            </w:r>
          </w:p>
          <w:p w14:paraId="767B085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（3）拒绝配合认证监管部门实施的监督检查，或者对有关事项的询问和调查提供了虚假材料或信息的。</w:t>
            </w:r>
          </w:p>
          <w:p w14:paraId="0D1F143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（4）拒绝接受国家产品质量监督抽查的。</w:t>
            </w:r>
          </w:p>
          <w:p w14:paraId="641736C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（5）出现重大的产品和服务等质量安全事故，经执法监管部门确认是获证组织违规造成的。</w:t>
            </w:r>
          </w:p>
          <w:p w14:paraId="373A58A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（6）有其他严重违反法律法规行为的。</w:t>
            </w:r>
          </w:p>
          <w:p w14:paraId="2F2564E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（7）暂停认证证书的期限已满但导致暂停的问题未得到解决或纠正的（包括持有的与质量管理体系范围有关的行政许可证明、资质证书、强制性认证证书等已经过期失效但申请未获批准）。</w:t>
            </w:r>
          </w:p>
          <w:p w14:paraId="1C12933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（8）没有运行质量管理体系或者已不具备运行条件的。</w:t>
            </w:r>
          </w:p>
          <w:p w14:paraId="2541E05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（9）不按相关规定正确引用和宣传获得的认证信息，造成严重影响或后果，或者认证机构已要求其纠正但超过2个月仍未纠正的。</w:t>
            </w:r>
          </w:p>
          <w:p w14:paraId="2A229BB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（10）其他应当撤销认证证书的。 </w:t>
            </w:r>
          </w:p>
          <w:p w14:paraId="2B4397C2">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7.3.2撤销认证证书后，认证机构应及时收回撤销的认证证书。若无法收回，认证机构应及时在相关媒体和网站上公布或声明撤销决定。</w:t>
            </w:r>
          </w:p>
          <w:p w14:paraId="56622D9D">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7.4认证机构暂停或撤销认证证书应当在其网站上公布相关信息，同时按规定程序和要求报国家认监委。</w:t>
            </w:r>
          </w:p>
          <w:p w14:paraId="6FF40A1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7.5认证机构应采取有效措施避免各类无效的认证证书和认证标志被继续使用。</w:t>
            </w:r>
          </w:p>
          <w:p w14:paraId="5740AB4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8认证证书要求</w:t>
            </w:r>
          </w:p>
          <w:p w14:paraId="7BB1FCD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8.1认证证书应至少包含以下信息：</w:t>
            </w:r>
          </w:p>
          <w:p w14:paraId="213E01A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（1）获证组织名称、地址和统一社会信用代码（或组织机构代码）。该信息应与其法律地位证明文件的信息一致。</w:t>
            </w:r>
          </w:p>
          <w:p w14:paraId="3548FE20">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（2）质量管理体系覆盖的生产经营或服务的地址和业务范围。若认证的质量管理体系覆盖多场所，表述覆盖的相关场所的名称和地址信息。</w:t>
            </w:r>
          </w:p>
          <w:p w14:paraId="2D27D641">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（3）质量管理体系符合GB/T 19001/ISO 9001标准的表述。</w:t>
            </w:r>
          </w:p>
          <w:p w14:paraId="6D041B3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（4）证书编号。</w:t>
            </w:r>
          </w:p>
          <w:p w14:paraId="2C5CA9E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（5）认证机构名称。</w:t>
            </w:r>
          </w:p>
          <w:p w14:paraId="2698823E">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 xml:space="preserve">（6）有效期的起止年月日。 </w:t>
            </w:r>
          </w:p>
          <w:p w14:paraId="1F47069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证书应注明：获证组织必须定期接受监督审核并经审核合格此证书方继续有效的提示信息。</w:t>
            </w:r>
          </w:p>
          <w:p w14:paraId="2D18548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（7）相关的认可标识及认可注册号（适用时）。</w:t>
            </w:r>
          </w:p>
          <w:p w14:paraId="57915666">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（8）证书查询方式。认证机构除公布认证证书在本机构网站上的查询方式外，还应当在证书上注明：“本证书信息可在国家认证认可监督管理委员会官方网站（www.cnca.gov.cn）上查询”，以便于社会监督。</w:t>
            </w:r>
          </w:p>
          <w:p w14:paraId="4AFC0AC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8.2初次认证认证证书有效期最长为3年。再认证的认证证书有效期不超过最近一次有效认证证书截止期再加3年。</w:t>
            </w:r>
          </w:p>
          <w:p w14:paraId="368C7D9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8.3认证机构应当建立证书信息披露制度。除向申请组织、认证监管部门等执法监管部门提供认证证书信息外，还应当根据社会相关方的请求向其提供证书信息，接受社会监督。</w:t>
            </w:r>
          </w:p>
          <w:p w14:paraId="0598772B">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9与其他管理体系的结合审核</w:t>
            </w:r>
          </w:p>
          <w:p w14:paraId="3364AE1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9.1对质量管理体系和其他管理体系实施结合审核时，通用或共性要求应满足本规则要求，审核报告中应清晰地体现4.4条要求，并易于识别。</w:t>
            </w:r>
          </w:p>
          <w:p w14:paraId="18B3567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9.2结合审核的审核时间人日数，不得少于多个单独体系所需审核时间之和的80％。</w:t>
            </w:r>
          </w:p>
          <w:p w14:paraId="644F006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10受理转换认证证书</w:t>
            </w:r>
          </w:p>
          <w:p w14:paraId="421E620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10.1认证机构应当履行社会责任，严禁以牟利为目的受理不符合GB/T 19001/ISO 9001标准、不能有效执行质量管理体系的组织申请认证证书的转换。</w:t>
            </w:r>
          </w:p>
          <w:p w14:paraId="4C70FB14">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10.2认证机构受理组织申请转换为本机构的认证证书，应该详细了解申请转换的原因，必要时进行现场审核。</w:t>
            </w:r>
          </w:p>
          <w:p w14:paraId="159EE99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10.3转换仅限于现行有效认证证书。被暂停或正在接受暂停、撤销处理的认证证书以及已失效的认证证书，不得接受转换申请。</w:t>
            </w:r>
          </w:p>
          <w:p w14:paraId="6B7D0E1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10.4被发证的认证机构撤销证书的，除非该组织进行彻底整改，导致暂停或撤销认证证书的情形已消除，否则不应受理其认证申请。</w:t>
            </w:r>
          </w:p>
          <w:p w14:paraId="60FB2977">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11受理组织的申诉</w:t>
            </w:r>
          </w:p>
          <w:p w14:paraId="5A5A9AE0">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申请组织或获证组织对认证决定有异议时，认证机构应接受申诉并且及时进行处理，在60日内将处理结果形成书面通知送交申诉人。</w:t>
            </w:r>
          </w:p>
          <w:p w14:paraId="4396D72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书面通知应当告知申诉人，若认为认证机构未遵守认证相关法律法规或本规则并导致自身合法权益受到严重侵害的，可以直接向所在地认证监管部门或国家认监委投诉，也可以向相关认可机构投诉。</w:t>
            </w:r>
          </w:p>
          <w:p w14:paraId="7AE29F0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12认证记录的管理</w:t>
            </w:r>
          </w:p>
          <w:p w14:paraId="5193C689">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12.1认证机构应当建立认证记录保持制度，记录认证活动全过程并妥善保存。</w:t>
            </w:r>
          </w:p>
          <w:p w14:paraId="2386781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12.2记录应当真实准确以证实认证活动得到有效实施。记录资料应当使用中文，保存时间至少应当与认证证书有效期一致。</w:t>
            </w:r>
          </w:p>
          <w:p w14:paraId="7FA31D2A">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12.3以电子文档方式保存记录的</w:t>
            </w:r>
            <w:bookmarkStart w:id="0" w:name="OLE_LINK3"/>
            <w:bookmarkEnd w:id="0"/>
            <w:bookmarkStart w:id="1" w:name="OLE_LINK4"/>
            <w:r>
              <w:rPr>
                <w:rFonts w:hint="eastAsia" w:ascii="方正仿宋简体" w:hAnsi="宋体" w:eastAsia="方正仿宋简体" w:cs="宋体"/>
                <w:color w:val="000000"/>
                <w:kern w:val="0"/>
                <w:sz w:val="32"/>
                <w:szCs w:val="32"/>
              </w:rPr>
              <w:t>，应采用</w:t>
            </w:r>
            <w:bookmarkEnd w:id="1"/>
            <w:r>
              <w:rPr>
                <w:rFonts w:hint="eastAsia" w:ascii="方正仿宋简体" w:hAnsi="宋体" w:eastAsia="方正仿宋简体" w:cs="宋体"/>
                <w:color w:val="222222"/>
                <w:kern w:val="0"/>
                <w:sz w:val="32"/>
                <w:szCs w:val="32"/>
              </w:rPr>
              <w:t>不可编辑的电子文档格式。</w:t>
            </w:r>
          </w:p>
          <w:p w14:paraId="18F645EC">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12.4 所有具有相关人员签字的书面记录，可以制作成电子文档保存使用，但是原件必须妥善保存，保存时间至少应当与认证证书有效期一致。</w:t>
            </w:r>
          </w:p>
          <w:p w14:paraId="5D92A6A5">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13其他</w:t>
            </w:r>
          </w:p>
          <w:p w14:paraId="3374DD68">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13.1本规则内容提及GB/T 19001/ISO 9001标准时均指认证活动发生时该标准的有效版本。认证活动及认证证书中描述该标准号时，应采用当时有效版本的完整标准号。</w:t>
            </w:r>
          </w:p>
          <w:p w14:paraId="146752E3">
            <w:pPr>
              <w:widowControl/>
              <w:spacing w:line="560" w:lineRule="atLeast"/>
              <w:ind w:firstLine="61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32"/>
                <w:szCs w:val="32"/>
              </w:rPr>
              <w:t>13.2本规则所提及的各类证明文件的复印件应是在原件上复印的，并经审核员签字确认与原件一致。</w:t>
            </w:r>
          </w:p>
          <w:p w14:paraId="75FF5030">
            <w:pPr>
              <w:widowControl/>
              <w:spacing w:line="560" w:lineRule="atLeast"/>
              <w:ind w:firstLine="614"/>
              <w:jc w:val="left"/>
              <w:rPr>
                <w:rFonts w:hint="eastAsia" w:ascii="方正仿宋简体" w:hAnsi="宋体" w:eastAsia="方正仿宋简体" w:cs="宋体"/>
                <w:color w:val="222222"/>
                <w:kern w:val="0"/>
                <w:sz w:val="32"/>
                <w:szCs w:val="32"/>
              </w:rPr>
            </w:pPr>
            <w:r>
              <w:rPr>
                <w:rFonts w:hint="eastAsia" w:ascii="方正仿宋简体" w:hAnsi="宋体" w:eastAsia="方正仿宋简体" w:cs="宋体"/>
                <w:color w:val="222222"/>
                <w:kern w:val="0"/>
                <w:sz w:val="32"/>
                <w:szCs w:val="32"/>
              </w:rPr>
              <w:t>13.3 认证机构可开展质量管理体系及相关技术标准的宣贯培训，促使组织的全体员工正确理解和执行质量管理体系标准。</w:t>
            </w:r>
          </w:p>
          <w:p w14:paraId="4CA2898E">
            <w:pPr>
              <w:widowControl/>
              <w:spacing w:line="560" w:lineRule="atLeast"/>
              <w:ind w:firstLine="614"/>
              <w:jc w:val="left"/>
              <w:rPr>
                <w:rFonts w:hint="eastAsia" w:ascii="方正仿宋简体" w:hAnsi="宋体" w:eastAsia="方正仿宋简体" w:cs="宋体"/>
                <w:color w:val="222222"/>
                <w:kern w:val="0"/>
                <w:sz w:val="32"/>
                <w:szCs w:val="32"/>
              </w:rPr>
            </w:pPr>
          </w:p>
          <w:p w14:paraId="3CB46B6D">
            <w:pPr>
              <w:widowControl/>
              <w:spacing w:line="560" w:lineRule="atLeast"/>
              <w:ind w:firstLine="614"/>
              <w:jc w:val="left"/>
              <w:rPr>
                <w:rFonts w:hint="eastAsia" w:ascii="方正仿宋简体" w:hAnsi="宋体" w:eastAsia="方正仿宋简体" w:cs="宋体"/>
                <w:color w:val="222222"/>
                <w:kern w:val="0"/>
                <w:sz w:val="32"/>
                <w:szCs w:val="32"/>
              </w:rPr>
            </w:pPr>
          </w:p>
          <w:p w14:paraId="54578518">
            <w:pPr>
              <w:widowControl/>
              <w:spacing w:line="560" w:lineRule="atLeast"/>
              <w:ind w:firstLine="614"/>
              <w:jc w:val="left"/>
              <w:rPr>
                <w:rFonts w:hint="eastAsia" w:ascii="方正仿宋简体" w:hAnsi="宋体" w:eastAsia="方正仿宋简体" w:cs="宋体"/>
                <w:color w:val="222222"/>
                <w:kern w:val="0"/>
                <w:sz w:val="32"/>
                <w:szCs w:val="32"/>
              </w:rPr>
            </w:pPr>
          </w:p>
          <w:p w14:paraId="5D9638B0">
            <w:pPr>
              <w:widowControl/>
              <w:spacing w:line="560" w:lineRule="atLeast"/>
              <w:ind w:firstLine="614"/>
              <w:jc w:val="left"/>
              <w:rPr>
                <w:rFonts w:hint="eastAsia" w:ascii="方正仿宋简体" w:hAnsi="宋体" w:eastAsia="方正仿宋简体" w:cs="宋体"/>
                <w:color w:val="222222"/>
                <w:kern w:val="0"/>
                <w:sz w:val="32"/>
                <w:szCs w:val="32"/>
              </w:rPr>
            </w:pPr>
          </w:p>
          <w:p w14:paraId="450D148A">
            <w:pPr>
              <w:widowControl/>
              <w:spacing w:line="560" w:lineRule="atLeast"/>
              <w:ind w:firstLine="614"/>
              <w:jc w:val="left"/>
              <w:rPr>
                <w:rFonts w:hint="eastAsia" w:ascii="方正仿宋简体" w:hAnsi="宋体" w:eastAsia="方正仿宋简体" w:cs="宋体"/>
                <w:color w:val="222222"/>
                <w:kern w:val="0"/>
                <w:sz w:val="32"/>
                <w:szCs w:val="32"/>
              </w:rPr>
            </w:pPr>
          </w:p>
          <w:p w14:paraId="58396075">
            <w:pPr>
              <w:widowControl/>
              <w:spacing w:line="469" w:lineRule="atLeast"/>
              <w:ind w:firstLine="538"/>
              <w:jc w:val="left"/>
              <w:rPr>
                <w:rFonts w:ascii="宋体" w:hAnsi="宋体" w:eastAsia="宋体" w:cs="宋体"/>
                <w:color w:val="222222"/>
                <w:kern w:val="0"/>
                <w:sz w:val="27"/>
                <w:szCs w:val="27"/>
              </w:rPr>
            </w:pPr>
            <w:r>
              <w:rPr>
                <w:rFonts w:hint="eastAsia" w:ascii="仿宋" w:hAnsi="宋体" w:eastAsia="仿宋" w:cs="宋体"/>
                <w:color w:val="222222"/>
                <w:kern w:val="0"/>
                <w:sz w:val="28"/>
                <w:szCs w:val="28"/>
              </w:rPr>
              <w:t> </w:t>
            </w:r>
          </w:p>
          <w:p w14:paraId="79C255CE">
            <w:pPr>
              <w:widowControl/>
              <w:spacing w:line="469" w:lineRule="atLeast"/>
              <w:jc w:val="left"/>
              <w:rPr>
                <w:rFonts w:ascii="宋体" w:hAnsi="宋体" w:eastAsia="宋体" w:cs="宋体"/>
                <w:color w:val="222222"/>
                <w:kern w:val="0"/>
                <w:sz w:val="27"/>
                <w:szCs w:val="27"/>
              </w:rPr>
            </w:pPr>
            <w:r>
              <w:rPr>
                <w:rFonts w:hint="eastAsia" w:ascii="仿宋" w:hAnsi="微软雅黑" w:eastAsia="仿宋" w:cs="宋体"/>
                <w:color w:val="222222"/>
                <w:kern w:val="0"/>
                <w:sz w:val="24"/>
                <w:szCs w:val="24"/>
              </w:rPr>
              <w:br w:type="page"/>
            </w:r>
            <w:r>
              <w:rPr>
                <w:rFonts w:hint="eastAsia" w:ascii="黑体" w:hAnsi="宋体" w:eastAsia="黑体" w:cs="宋体"/>
                <w:color w:val="222222"/>
                <w:kern w:val="0"/>
                <w:sz w:val="32"/>
                <w:szCs w:val="32"/>
              </w:rPr>
              <w:t>附录A</w:t>
            </w:r>
          </w:p>
          <w:p w14:paraId="3BE68E56">
            <w:pPr>
              <w:widowControl/>
              <w:snapToGrid w:val="0"/>
              <w:spacing w:line="580" w:lineRule="atLeast"/>
              <w:jc w:val="center"/>
              <w:rPr>
                <w:rFonts w:ascii="宋体" w:hAnsi="宋体" w:eastAsia="宋体" w:cs="宋体"/>
                <w:color w:val="222222"/>
                <w:kern w:val="0"/>
                <w:sz w:val="27"/>
                <w:szCs w:val="27"/>
              </w:rPr>
            </w:pPr>
            <w:r>
              <w:rPr>
                <w:rFonts w:hint="eastAsia" w:ascii="方正小标宋简体" w:hAnsi="宋体" w:eastAsia="方正小标宋简体" w:cs="宋体"/>
                <w:color w:val="222222"/>
                <w:kern w:val="0"/>
                <w:sz w:val="44"/>
                <w:szCs w:val="44"/>
              </w:rPr>
              <w:t>质量管理体系认证审核时间要求</w:t>
            </w:r>
          </w:p>
          <w:p w14:paraId="20F281C6">
            <w:pPr>
              <w:widowControl/>
              <w:snapToGrid w:val="0"/>
              <w:spacing w:line="580" w:lineRule="atLeast"/>
              <w:jc w:val="center"/>
              <w:rPr>
                <w:rFonts w:ascii="宋体" w:hAnsi="宋体" w:eastAsia="宋体" w:cs="宋体"/>
                <w:color w:val="222222"/>
                <w:kern w:val="0"/>
                <w:sz w:val="27"/>
                <w:szCs w:val="27"/>
              </w:rPr>
            </w:pPr>
            <w:r>
              <w:rPr>
                <w:rFonts w:hint="eastAsia" w:ascii="方正小标宋简体" w:hAnsi="宋体" w:eastAsia="方正小标宋简体" w:cs="宋体"/>
                <w:color w:val="222222"/>
                <w:kern w:val="0"/>
                <w:sz w:val="30"/>
                <w:szCs w:val="30"/>
              </w:rPr>
              <w:t> </w:t>
            </w:r>
          </w:p>
          <w:tbl>
            <w:tblPr>
              <w:tblStyle w:val="4"/>
              <w:tblW w:w="0" w:type="auto"/>
              <w:jc w:val="center"/>
              <w:tblLayout w:type="autofit"/>
              <w:tblCellMar>
                <w:top w:w="0" w:type="dxa"/>
                <w:left w:w="0" w:type="dxa"/>
                <w:bottom w:w="0" w:type="dxa"/>
                <w:right w:w="0" w:type="dxa"/>
              </w:tblCellMar>
            </w:tblPr>
            <w:tblGrid>
              <w:gridCol w:w="1182"/>
              <w:gridCol w:w="2737"/>
              <w:gridCol w:w="1495"/>
              <w:gridCol w:w="2892"/>
            </w:tblGrid>
            <w:tr w14:paraId="29D37BB1">
              <w:tblPrEx>
                <w:tblCellMar>
                  <w:top w:w="0" w:type="dxa"/>
                  <w:left w:w="0" w:type="dxa"/>
                  <w:bottom w:w="0" w:type="dxa"/>
                  <w:right w:w="0" w:type="dxa"/>
                </w:tblCellMar>
              </w:tblPrEx>
              <w:trPr>
                <w:trHeight w:val="791" w:hRule="atLeast"/>
                <w:jc w:val="center"/>
              </w:trPr>
              <w:tc>
                <w:tcPr>
                  <w:tcW w:w="120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52C009B">
                  <w:pPr>
                    <w:widowControl/>
                    <w:snapToGrid w:val="0"/>
                    <w:spacing w:line="380" w:lineRule="atLeast"/>
                    <w:jc w:val="center"/>
                    <w:rPr>
                      <w:rFonts w:ascii="宋体" w:hAnsi="宋体" w:eastAsia="宋体" w:cs="宋体"/>
                      <w:kern w:val="0"/>
                      <w:sz w:val="20"/>
                      <w:szCs w:val="20"/>
                    </w:rPr>
                  </w:pPr>
                  <w:r>
                    <w:rPr>
                      <w:rFonts w:hint="eastAsia" w:ascii="黑体" w:hAnsi="宋体" w:eastAsia="黑体" w:cs="宋体"/>
                      <w:kern w:val="0"/>
                      <w:sz w:val="24"/>
                      <w:szCs w:val="24"/>
                    </w:rPr>
                    <w:t>有效人数</w:t>
                  </w:r>
                </w:p>
              </w:tc>
              <w:tc>
                <w:tcPr>
                  <w:tcW w:w="3077"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2B75F413">
                  <w:pPr>
                    <w:widowControl/>
                    <w:snapToGrid w:val="0"/>
                    <w:spacing w:line="380" w:lineRule="atLeast"/>
                    <w:jc w:val="center"/>
                    <w:rPr>
                      <w:rFonts w:ascii="宋体" w:hAnsi="宋体" w:eastAsia="宋体" w:cs="宋体"/>
                      <w:kern w:val="0"/>
                      <w:sz w:val="20"/>
                      <w:szCs w:val="20"/>
                    </w:rPr>
                  </w:pPr>
                  <w:r>
                    <w:rPr>
                      <w:rFonts w:hint="eastAsia" w:ascii="黑体" w:hAnsi="宋体" w:eastAsia="黑体" w:cs="宋体"/>
                      <w:kern w:val="0"/>
                      <w:sz w:val="24"/>
                      <w:szCs w:val="24"/>
                    </w:rPr>
                    <w:t>审核时间</w:t>
                  </w:r>
                </w:p>
                <w:p w14:paraId="13153C5D">
                  <w:pPr>
                    <w:widowControl/>
                    <w:snapToGrid w:val="0"/>
                    <w:spacing w:line="380" w:lineRule="atLeast"/>
                    <w:jc w:val="center"/>
                    <w:rPr>
                      <w:rFonts w:ascii="宋体" w:hAnsi="宋体" w:eastAsia="宋体" w:cs="宋体"/>
                      <w:kern w:val="0"/>
                      <w:sz w:val="20"/>
                      <w:szCs w:val="20"/>
                    </w:rPr>
                  </w:pPr>
                  <w:r>
                    <w:rPr>
                      <w:rFonts w:hint="eastAsia" w:ascii="黑体" w:hAnsi="宋体" w:eastAsia="黑体" w:cs="宋体"/>
                      <w:kern w:val="0"/>
                      <w:sz w:val="24"/>
                      <w:szCs w:val="24"/>
                    </w:rPr>
                    <w:t>第1阶段＋第2阶段</w:t>
                  </w:r>
                </w:p>
                <w:p w14:paraId="18A1A5C4">
                  <w:pPr>
                    <w:widowControl/>
                    <w:snapToGrid w:val="0"/>
                    <w:spacing w:line="380" w:lineRule="atLeast"/>
                    <w:jc w:val="center"/>
                    <w:rPr>
                      <w:rFonts w:ascii="宋体" w:hAnsi="宋体" w:eastAsia="宋体" w:cs="宋体"/>
                      <w:kern w:val="0"/>
                      <w:sz w:val="20"/>
                      <w:szCs w:val="20"/>
                    </w:rPr>
                  </w:pPr>
                  <w:r>
                    <w:rPr>
                      <w:rFonts w:hint="eastAsia" w:ascii="黑体" w:hAnsi="宋体" w:eastAsia="黑体" w:cs="宋体"/>
                      <w:kern w:val="0"/>
                      <w:sz w:val="24"/>
                      <w:szCs w:val="24"/>
                    </w:rPr>
                    <w:t>（人天）</w:t>
                  </w:r>
                </w:p>
              </w:tc>
              <w:tc>
                <w:tcPr>
                  <w:tcW w:w="150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84B561F">
                  <w:pPr>
                    <w:widowControl/>
                    <w:snapToGrid w:val="0"/>
                    <w:spacing w:line="380" w:lineRule="atLeast"/>
                    <w:jc w:val="center"/>
                    <w:rPr>
                      <w:rFonts w:ascii="宋体" w:hAnsi="宋体" w:eastAsia="宋体" w:cs="宋体"/>
                      <w:kern w:val="0"/>
                      <w:sz w:val="20"/>
                      <w:szCs w:val="20"/>
                    </w:rPr>
                  </w:pPr>
                  <w:r>
                    <w:rPr>
                      <w:rFonts w:hint="eastAsia" w:ascii="黑体" w:hAnsi="宋体" w:eastAsia="黑体" w:cs="宋体"/>
                      <w:kern w:val="0"/>
                      <w:sz w:val="24"/>
                      <w:szCs w:val="24"/>
                    </w:rPr>
                    <w:t>有效人数</w:t>
                  </w:r>
                </w:p>
              </w:tc>
              <w:tc>
                <w:tcPr>
                  <w:tcW w:w="3284"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44AB06BB">
                  <w:pPr>
                    <w:widowControl/>
                    <w:snapToGrid w:val="0"/>
                    <w:spacing w:line="380" w:lineRule="atLeast"/>
                    <w:jc w:val="center"/>
                    <w:rPr>
                      <w:rFonts w:ascii="宋体" w:hAnsi="宋体" w:eastAsia="宋体" w:cs="宋体"/>
                      <w:kern w:val="0"/>
                      <w:sz w:val="20"/>
                      <w:szCs w:val="20"/>
                    </w:rPr>
                  </w:pPr>
                  <w:r>
                    <w:rPr>
                      <w:rFonts w:hint="eastAsia" w:ascii="黑体" w:hAnsi="宋体" w:eastAsia="黑体" w:cs="宋体"/>
                      <w:kern w:val="0"/>
                      <w:sz w:val="24"/>
                      <w:szCs w:val="24"/>
                    </w:rPr>
                    <w:t>审核时间</w:t>
                  </w:r>
                </w:p>
                <w:p w14:paraId="45DBC678">
                  <w:pPr>
                    <w:widowControl/>
                    <w:snapToGrid w:val="0"/>
                    <w:spacing w:line="380" w:lineRule="atLeast"/>
                    <w:ind w:right="-160"/>
                    <w:jc w:val="center"/>
                    <w:rPr>
                      <w:rFonts w:ascii="宋体" w:hAnsi="宋体" w:eastAsia="宋体" w:cs="宋体"/>
                      <w:kern w:val="0"/>
                      <w:sz w:val="20"/>
                      <w:szCs w:val="20"/>
                    </w:rPr>
                  </w:pPr>
                  <w:r>
                    <w:rPr>
                      <w:rFonts w:hint="eastAsia" w:ascii="黑体" w:hAnsi="宋体" w:eastAsia="黑体" w:cs="宋体"/>
                      <w:kern w:val="0"/>
                      <w:sz w:val="24"/>
                      <w:szCs w:val="24"/>
                    </w:rPr>
                    <w:t>第1阶段＋第2阶段</w:t>
                  </w:r>
                </w:p>
                <w:p w14:paraId="3834C68A">
                  <w:pPr>
                    <w:widowControl/>
                    <w:snapToGrid w:val="0"/>
                    <w:spacing w:line="380" w:lineRule="atLeast"/>
                    <w:ind w:right="-160"/>
                    <w:jc w:val="center"/>
                    <w:rPr>
                      <w:rFonts w:ascii="宋体" w:hAnsi="宋体" w:eastAsia="宋体" w:cs="宋体"/>
                      <w:kern w:val="0"/>
                      <w:sz w:val="20"/>
                      <w:szCs w:val="20"/>
                    </w:rPr>
                  </w:pPr>
                  <w:r>
                    <w:rPr>
                      <w:rFonts w:hint="eastAsia" w:ascii="黑体" w:hAnsi="宋体" w:eastAsia="黑体" w:cs="宋体"/>
                      <w:kern w:val="0"/>
                      <w:sz w:val="24"/>
                      <w:szCs w:val="24"/>
                    </w:rPr>
                    <w:t>（人天）</w:t>
                  </w:r>
                </w:p>
              </w:tc>
            </w:tr>
            <w:tr w14:paraId="3E7268D1">
              <w:tblPrEx>
                <w:tblCellMar>
                  <w:top w:w="0" w:type="dxa"/>
                  <w:left w:w="0" w:type="dxa"/>
                  <w:bottom w:w="0" w:type="dxa"/>
                  <w:right w:w="0" w:type="dxa"/>
                </w:tblCellMar>
              </w:tblPrEx>
              <w:trPr>
                <w:trHeight w:val="324"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63073CF">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601E3118">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1.5</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4AE378B3">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626-875</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66867393">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12</w:t>
                  </w:r>
                </w:p>
              </w:tc>
            </w:tr>
            <w:tr w14:paraId="706AB4FD">
              <w:tblPrEx>
                <w:tblCellMar>
                  <w:top w:w="0" w:type="dxa"/>
                  <w:left w:w="0" w:type="dxa"/>
                  <w:bottom w:w="0" w:type="dxa"/>
                  <w:right w:w="0" w:type="dxa"/>
                </w:tblCellMar>
              </w:tblPrEx>
              <w:trPr>
                <w:trHeight w:val="140"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9A6479E">
                  <w:pPr>
                    <w:widowControl/>
                    <w:snapToGrid w:val="0"/>
                    <w:spacing w:line="14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6-10</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32B1A1DF">
                  <w:pPr>
                    <w:widowControl/>
                    <w:snapToGrid w:val="0"/>
                    <w:spacing w:line="14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06D6ADF7">
                  <w:pPr>
                    <w:widowControl/>
                    <w:snapToGrid w:val="0"/>
                    <w:spacing w:line="14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876-1175</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714E15C9">
                  <w:pPr>
                    <w:widowControl/>
                    <w:snapToGrid w:val="0"/>
                    <w:spacing w:line="14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13</w:t>
                  </w:r>
                </w:p>
              </w:tc>
            </w:tr>
            <w:tr w14:paraId="54AAC2D4">
              <w:tblPrEx>
                <w:tblCellMar>
                  <w:top w:w="0" w:type="dxa"/>
                  <w:left w:w="0" w:type="dxa"/>
                  <w:bottom w:w="0" w:type="dxa"/>
                  <w:right w:w="0" w:type="dxa"/>
                </w:tblCellMar>
              </w:tblPrEx>
              <w:trPr>
                <w:trHeight w:val="74"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E740F82">
                  <w:pPr>
                    <w:widowControl/>
                    <w:snapToGrid w:val="0"/>
                    <w:spacing w:line="74"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11-15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46FAC2B2">
                  <w:pPr>
                    <w:widowControl/>
                    <w:snapToGrid w:val="0"/>
                    <w:spacing w:line="74"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2.5</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78C341EA">
                  <w:pPr>
                    <w:widowControl/>
                    <w:snapToGrid w:val="0"/>
                    <w:spacing w:line="74"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1176-1550</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7A0DDB4E">
                  <w:pPr>
                    <w:widowControl/>
                    <w:snapToGrid w:val="0"/>
                    <w:spacing w:line="74"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14</w:t>
                  </w:r>
                </w:p>
              </w:tc>
            </w:tr>
            <w:tr w14:paraId="5B066E3A">
              <w:tblPrEx>
                <w:tblCellMar>
                  <w:top w:w="0" w:type="dxa"/>
                  <w:left w:w="0" w:type="dxa"/>
                  <w:bottom w:w="0" w:type="dxa"/>
                  <w:right w:w="0" w:type="dxa"/>
                </w:tblCellMar>
              </w:tblPrEx>
              <w:trPr>
                <w:trHeight w:val="120"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FD24020">
                  <w:pPr>
                    <w:widowControl/>
                    <w:snapToGrid w:val="0"/>
                    <w:spacing w:line="12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16-25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21C0A95F">
                  <w:pPr>
                    <w:widowControl/>
                    <w:snapToGrid w:val="0"/>
                    <w:spacing w:line="12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3</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321A4185">
                  <w:pPr>
                    <w:widowControl/>
                    <w:snapToGrid w:val="0"/>
                    <w:spacing w:line="12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1551-2025</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0223A19A">
                  <w:pPr>
                    <w:widowControl/>
                    <w:snapToGrid w:val="0"/>
                    <w:spacing w:line="12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15</w:t>
                  </w:r>
                </w:p>
              </w:tc>
            </w:tr>
            <w:tr w14:paraId="2BDB01F6">
              <w:tblPrEx>
                <w:tblCellMar>
                  <w:top w:w="0" w:type="dxa"/>
                  <w:left w:w="0" w:type="dxa"/>
                  <w:bottom w:w="0" w:type="dxa"/>
                  <w:right w:w="0" w:type="dxa"/>
                </w:tblCellMar>
              </w:tblPrEx>
              <w:trPr>
                <w:trHeight w:val="124"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23126F1">
                  <w:pPr>
                    <w:widowControl/>
                    <w:snapToGrid w:val="0"/>
                    <w:spacing w:line="124"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26-45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3CC97671">
                  <w:pPr>
                    <w:widowControl/>
                    <w:snapToGrid w:val="0"/>
                    <w:spacing w:line="124"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4</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2D65EBA8">
                  <w:pPr>
                    <w:widowControl/>
                    <w:snapToGrid w:val="0"/>
                    <w:spacing w:line="124"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2026-2675</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5168A23C">
                  <w:pPr>
                    <w:widowControl/>
                    <w:snapToGrid w:val="0"/>
                    <w:spacing w:line="124"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16</w:t>
                  </w:r>
                </w:p>
              </w:tc>
            </w:tr>
            <w:tr w14:paraId="671458D1">
              <w:tblPrEx>
                <w:tblCellMar>
                  <w:top w:w="0" w:type="dxa"/>
                  <w:left w:w="0" w:type="dxa"/>
                  <w:bottom w:w="0" w:type="dxa"/>
                  <w:right w:w="0" w:type="dxa"/>
                </w:tblCellMar>
              </w:tblPrEx>
              <w:trPr>
                <w:trHeight w:val="121"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53F43BA">
                  <w:pPr>
                    <w:widowControl/>
                    <w:snapToGrid w:val="0"/>
                    <w:spacing w:line="121"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46-65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5B31FA3E">
                  <w:pPr>
                    <w:widowControl/>
                    <w:snapToGrid w:val="0"/>
                    <w:spacing w:line="121"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5</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7163BF54">
                  <w:pPr>
                    <w:widowControl/>
                    <w:snapToGrid w:val="0"/>
                    <w:spacing w:line="121"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2676-3450</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15D6A523">
                  <w:pPr>
                    <w:widowControl/>
                    <w:snapToGrid w:val="0"/>
                    <w:spacing w:line="121"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17</w:t>
                  </w:r>
                </w:p>
              </w:tc>
            </w:tr>
            <w:tr w14:paraId="75DCCBF4">
              <w:tblPrEx>
                <w:tblCellMar>
                  <w:top w:w="0" w:type="dxa"/>
                  <w:left w:w="0" w:type="dxa"/>
                  <w:bottom w:w="0" w:type="dxa"/>
                  <w:right w:w="0" w:type="dxa"/>
                </w:tblCellMar>
              </w:tblPrEx>
              <w:trPr>
                <w:trHeight w:val="263"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3A09766">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66-85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3704586F">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6</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77CF7E9F">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3451-4350</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23BA4D2C">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18</w:t>
                  </w:r>
                </w:p>
              </w:tc>
            </w:tr>
            <w:tr w14:paraId="285C7C37">
              <w:tblPrEx>
                <w:tblCellMar>
                  <w:top w:w="0" w:type="dxa"/>
                  <w:left w:w="0" w:type="dxa"/>
                  <w:bottom w:w="0" w:type="dxa"/>
                  <w:right w:w="0" w:type="dxa"/>
                </w:tblCellMar>
              </w:tblPrEx>
              <w:trPr>
                <w:trHeight w:val="268"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6AD451D">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86-125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6724FC48">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7</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4CC8CA03">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4351-5450</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58530804">
                  <w:pPr>
                    <w:widowControl/>
                    <w:snapToGrid w:val="0"/>
                    <w:spacing w:line="38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19</w:t>
                  </w:r>
                </w:p>
              </w:tc>
            </w:tr>
            <w:tr w14:paraId="02B3B6E4">
              <w:tblPrEx>
                <w:tblCellMar>
                  <w:top w:w="0" w:type="dxa"/>
                  <w:left w:w="0" w:type="dxa"/>
                  <w:bottom w:w="0" w:type="dxa"/>
                  <w:right w:w="0" w:type="dxa"/>
                </w:tblCellMar>
              </w:tblPrEx>
              <w:trPr>
                <w:trHeight w:val="115"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58FBA20">
                  <w:pPr>
                    <w:widowControl/>
                    <w:snapToGrid w:val="0"/>
                    <w:spacing w:line="115"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126-175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3C8A595B">
                  <w:pPr>
                    <w:widowControl/>
                    <w:snapToGrid w:val="0"/>
                    <w:spacing w:line="115"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8</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7A4924DE">
                  <w:pPr>
                    <w:widowControl/>
                    <w:snapToGrid w:val="0"/>
                    <w:spacing w:line="115"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5451-6800</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02F34334">
                  <w:pPr>
                    <w:widowControl/>
                    <w:snapToGrid w:val="0"/>
                    <w:spacing w:line="115"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20</w:t>
                  </w:r>
                </w:p>
              </w:tc>
            </w:tr>
            <w:tr w14:paraId="4A896BE6">
              <w:tblPrEx>
                <w:tblCellMar>
                  <w:top w:w="0" w:type="dxa"/>
                  <w:left w:w="0" w:type="dxa"/>
                  <w:bottom w:w="0" w:type="dxa"/>
                  <w:right w:w="0" w:type="dxa"/>
                </w:tblCellMar>
              </w:tblPrEx>
              <w:trPr>
                <w:trHeight w:val="120"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3E16638">
                  <w:pPr>
                    <w:widowControl/>
                    <w:snapToGrid w:val="0"/>
                    <w:spacing w:line="12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176-275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5901DF9F">
                  <w:pPr>
                    <w:widowControl/>
                    <w:snapToGrid w:val="0"/>
                    <w:spacing w:line="12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9</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241B9CE8">
                  <w:pPr>
                    <w:widowControl/>
                    <w:snapToGrid w:val="0"/>
                    <w:spacing w:line="12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6801-8500</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3728F8A4">
                  <w:pPr>
                    <w:widowControl/>
                    <w:snapToGrid w:val="0"/>
                    <w:spacing w:line="120"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21</w:t>
                  </w:r>
                </w:p>
              </w:tc>
            </w:tr>
            <w:tr w14:paraId="07D3FF18">
              <w:tblPrEx>
                <w:tblCellMar>
                  <w:top w:w="0" w:type="dxa"/>
                  <w:left w:w="0" w:type="dxa"/>
                  <w:bottom w:w="0" w:type="dxa"/>
                  <w:right w:w="0" w:type="dxa"/>
                </w:tblCellMar>
              </w:tblPrEx>
              <w:trPr>
                <w:trHeight w:val="109"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9EBD2CD">
                  <w:pPr>
                    <w:widowControl/>
                    <w:snapToGrid w:val="0"/>
                    <w:spacing w:line="109"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276-425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6251541E">
                  <w:pPr>
                    <w:widowControl/>
                    <w:snapToGrid w:val="0"/>
                    <w:spacing w:line="109"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10</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14171081">
                  <w:pPr>
                    <w:widowControl/>
                    <w:snapToGrid w:val="0"/>
                    <w:spacing w:line="109"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8501-10700</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2F857D3E">
                  <w:pPr>
                    <w:widowControl/>
                    <w:snapToGrid w:val="0"/>
                    <w:spacing w:line="109"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22</w:t>
                  </w:r>
                </w:p>
              </w:tc>
            </w:tr>
            <w:tr w14:paraId="3879307E">
              <w:tblPrEx>
                <w:tblCellMar>
                  <w:top w:w="0" w:type="dxa"/>
                  <w:left w:w="0" w:type="dxa"/>
                  <w:bottom w:w="0" w:type="dxa"/>
                  <w:right w:w="0" w:type="dxa"/>
                </w:tblCellMar>
              </w:tblPrEx>
              <w:trPr>
                <w:trHeight w:val="99" w:hRule="atLeast"/>
                <w:jc w:val="center"/>
              </w:trPr>
              <w:tc>
                <w:tcPr>
                  <w:tcW w:w="12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034EFE5">
                  <w:pPr>
                    <w:widowControl/>
                    <w:snapToGrid w:val="0"/>
                    <w:spacing w:line="99"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426-625</w:t>
                  </w:r>
                </w:p>
              </w:tc>
              <w:tc>
                <w:tcPr>
                  <w:tcW w:w="3077" w:type="dxa"/>
                  <w:tcBorders>
                    <w:top w:val="nil"/>
                    <w:left w:val="nil"/>
                    <w:bottom w:val="single" w:color="auto" w:sz="8" w:space="0"/>
                    <w:right w:val="single" w:color="auto" w:sz="8" w:space="0"/>
                  </w:tcBorders>
                  <w:tcMar>
                    <w:top w:w="0" w:type="dxa"/>
                    <w:left w:w="108" w:type="dxa"/>
                    <w:bottom w:w="0" w:type="dxa"/>
                    <w:right w:w="108" w:type="dxa"/>
                  </w:tcMar>
                  <w:vAlign w:val="center"/>
                </w:tcPr>
                <w:p w14:paraId="392A480B">
                  <w:pPr>
                    <w:widowControl/>
                    <w:snapToGrid w:val="0"/>
                    <w:spacing w:line="99"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11</w:t>
                  </w:r>
                </w:p>
              </w:tc>
              <w:tc>
                <w:tcPr>
                  <w:tcW w:w="1508" w:type="dxa"/>
                  <w:tcBorders>
                    <w:top w:val="nil"/>
                    <w:left w:val="nil"/>
                    <w:bottom w:val="single" w:color="auto" w:sz="8" w:space="0"/>
                    <w:right w:val="single" w:color="auto" w:sz="8" w:space="0"/>
                  </w:tcBorders>
                  <w:tcMar>
                    <w:top w:w="0" w:type="dxa"/>
                    <w:left w:w="108" w:type="dxa"/>
                    <w:bottom w:w="0" w:type="dxa"/>
                    <w:right w:w="108" w:type="dxa"/>
                  </w:tcMar>
                  <w:vAlign w:val="center"/>
                </w:tcPr>
                <w:p w14:paraId="7242B1BD">
                  <w:pPr>
                    <w:widowControl/>
                    <w:snapToGrid w:val="0"/>
                    <w:spacing w:line="99"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&gt;10700</w:t>
                  </w:r>
                </w:p>
              </w:tc>
              <w:tc>
                <w:tcPr>
                  <w:tcW w:w="3284" w:type="dxa"/>
                  <w:tcBorders>
                    <w:top w:val="nil"/>
                    <w:left w:val="nil"/>
                    <w:bottom w:val="single" w:color="auto" w:sz="8" w:space="0"/>
                    <w:right w:val="single" w:color="auto" w:sz="8" w:space="0"/>
                  </w:tcBorders>
                  <w:tcMar>
                    <w:top w:w="0" w:type="dxa"/>
                    <w:left w:w="108" w:type="dxa"/>
                    <w:bottom w:w="0" w:type="dxa"/>
                    <w:right w:w="108" w:type="dxa"/>
                  </w:tcMar>
                  <w:vAlign w:val="center"/>
                </w:tcPr>
                <w:p w14:paraId="67F6DDD4">
                  <w:pPr>
                    <w:widowControl/>
                    <w:snapToGrid w:val="0"/>
                    <w:spacing w:line="99" w:lineRule="atLeast"/>
                    <w:jc w:val="center"/>
                    <w:rPr>
                      <w:rFonts w:ascii="宋体" w:hAnsi="宋体" w:eastAsia="宋体" w:cs="宋体"/>
                      <w:kern w:val="0"/>
                      <w:sz w:val="20"/>
                      <w:szCs w:val="20"/>
                    </w:rPr>
                  </w:pPr>
                  <w:r>
                    <w:rPr>
                      <w:rFonts w:hint="eastAsia" w:ascii="方正仿宋简体" w:hAnsi="宋体" w:eastAsia="方正仿宋简体" w:cs="宋体"/>
                      <w:kern w:val="0"/>
                      <w:sz w:val="24"/>
                      <w:szCs w:val="24"/>
                    </w:rPr>
                    <w:t>遵循上述递进规律</w:t>
                  </w:r>
                </w:p>
              </w:tc>
            </w:tr>
          </w:tbl>
          <w:p w14:paraId="16CF0258">
            <w:pPr>
              <w:widowControl/>
              <w:snapToGrid w:val="0"/>
              <w:spacing w:line="540" w:lineRule="atLeast"/>
              <w:ind w:left="703" w:hanging="703"/>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24"/>
                <w:szCs w:val="24"/>
              </w:rPr>
              <w:t>注：1.有效人数包括认证范围内涉及的所有人员（含每个班次的人员）。覆盖于认证</w:t>
            </w:r>
          </w:p>
          <w:p w14:paraId="75265BAE">
            <w:pPr>
              <w:widowControl/>
              <w:snapToGrid w:val="0"/>
              <w:spacing w:line="540" w:lineRule="atLeast"/>
              <w:ind w:left="700" w:hanging="27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24"/>
                <w:szCs w:val="24"/>
              </w:rPr>
              <w:t>范围内的非固定人员（如：承包商人员）和兼职人员也应包括在有效人数内。</w:t>
            </w:r>
          </w:p>
          <w:p w14:paraId="5D4C80FB">
            <w:pPr>
              <w:widowControl/>
              <w:snapToGrid w:val="0"/>
              <w:spacing w:line="540" w:lineRule="atLeast"/>
              <w:ind w:left="424"/>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24"/>
                <w:szCs w:val="24"/>
              </w:rPr>
              <w:t>2.对非固定人员（包括季节性人员、临时人员和分包商人员）和兼职人员的有效人数核定，可根据其实际工作小时数予以适当减少或换算成等效的全职人员数。</w:t>
            </w:r>
          </w:p>
          <w:p w14:paraId="50899CB9">
            <w:pPr>
              <w:widowControl/>
              <w:spacing w:line="540" w:lineRule="atLeast"/>
              <w:ind w:left="424" w:right="55"/>
              <w:jc w:val="left"/>
              <w:rPr>
                <w:rFonts w:ascii="宋体" w:hAnsi="宋体" w:eastAsia="宋体" w:cs="宋体"/>
                <w:color w:val="222222"/>
                <w:kern w:val="0"/>
                <w:sz w:val="27"/>
                <w:szCs w:val="27"/>
              </w:rPr>
            </w:pPr>
            <w:r>
              <w:rPr>
                <w:rFonts w:hint="eastAsia" w:ascii="方正仿宋简体" w:hAnsi="宋体" w:eastAsia="方正仿宋简体" w:cs="宋体"/>
                <w:color w:val="222222"/>
                <w:kern w:val="0"/>
                <w:sz w:val="24"/>
                <w:szCs w:val="24"/>
              </w:rPr>
              <w:t>3.组织正常工作期间（如轮班制组织）安排的审核时间可以计入有效的管理体系认证审核时间，但往返多审核场所之间所花费的时间不计入有效的管理体系认证审核时间。</w:t>
            </w:r>
          </w:p>
        </w:tc>
      </w:tr>
    </w:tbl>
    <w:p w14:paraId="6039C27D">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方正仿宋简体">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C1D86"/>
    <w:rsid w:val="006C1D86"/>
    <w:rsid w:val="00D54407"/>
    <w:rsid w:val="2352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character" w:customStyle="1" w:styleId="8">
    <w:name w:val="apple-style-span"/>
    <w:basedOn w:val="5"/>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cnca</Company>
  <Pages>24</Pages>
  <Words>9331</Words>
  <Characters>10094</Characters>
  <Lines>74</Lines>
  <Paragraphs>20</Paragraphs>
  <TotalTime>12</TotalTime>
  <ScaleCrop>false</ScaleCrop>
  <LinksUpToDate>false</LinksUpToDate>
  <CharactersWithSpaces>10142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2016-08-25T05:13:00Z</dcterms:created>
  <dc:creator>cncawebser</dc:creator>
  <cp:lastModifiedBy>云中漫步</cp:lastModifiedBy>
  <dcterms:modified xsi:type="dcterms:W3CDTF">2024-12-31T02:05:25Z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eyJoZGlkIjoiNjhkYzU4NmYwZjVkY2M3ZWZlODRlYzUzNTMzNGIxODIiLCJ1c2VySWQiOiI1MDM0MDQ4MDMifQ==</vt:lpwstr>
  </property>
  <property fmtid="{D5CDD505-2E9C-101B-9397-08002B2CF9AE}" pid="3" name="KSOProductBuildVer">
    <vt:lpwstr>2052-12.1.0.19770</vt:lpwstr>
  </property>
  <property fmtid="{D5CDD505-2E9C-101B-9397-08002B2CF9AE}" pid="4" name="ICV">
    <vt:lpwstr>34852F0358434C3CAAA5708B1DBD928B_12</vt:lpwstr>
  </property>
</Properties>
</file>